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napToGrid w:val="0"/>
          <w:sz w:val="24"/>
          <w:szCs w:val="24"/>
          <w:u w:val="single"/>
        </w:rPr>
      </w:pPr>
      <w:r>
        <w:rPr>
          <w:b/>
          <w:bCs/>
          <w:snapToGrid w:val="0"/>
          <w:sz w:val="24"/>
          <w:szCs w:val="24"/>
          <w:u w:val="single"/>
        </w:rPr>
        <w:t xml:space="preserve">ANNEXURE-III   </w:t>
      </w:r>
    </w:p>
    <w:p>
      <w:pPr>
        <w:rPr>
          <w:b/>
          <w:bCs/>
          <w:snapToGrid w:val="0"/>
          <w:sz w:val="24"/>
          <w:szCs w:val="24"/>
        </w:rPr>
      </w:pPr>
    </w:p>
    <w:p>
      <w:pPr>
        <w:rPr>
          <w:b/>
          <w:bCs/>
          <w:snapToGrid w:val="0"/>
          <w:sz w:val="24"/>
          <w:szCs w:val="24"/>
          <w:u w:val="single"/>
        </w:rPr>
      </w:pPr>
      <w:r>
        <w:rPr>
          <w:b/>
          <w:bCs/>
          <w:snapToGrid w:val="0"/>
          <w:sz w:val="24"/>
          <w:szCs w:val="24"/>
          <w:u w:val="single"/>
        </w:rPr>
        <w:t>SCHEDULE OF RATES:</w:t>
      </w:r>
    </w:p>
    <w:p>
      <w:pPr>
        <w:rPr>
          <w:b/>
          <w:bCs/>
          <w:szCs w:val="28"/>
        </w:rPr>
      </w:pPr>
      <w:r>
        <w:rPr>
          <w:rFonts w:cs="Times New Roman"/>
          <w:b/>
          <w:bCs/>
          <w:szCs w:val="28"/>
        </w:rPr>
        <w:t>.</w:t>
      </w:r>
    </w:p>
    <w:p>
      <w:pPr>
        <w:rPr>
          <w:b/>
          <w:bCs/>
          <w:snapToGrid w:val="0"/>
          <w:sz w:val="28"/>
          <w:szCs w:val="28"/>
          <w:u w:val="single"/>
        </w:rPr>
      </w:pPr>
    </w:p>
    <w:p>
      <w:pPr>
        <w:rPr>
          <w:b/>
          <w:bCs/>
          <w:snapToGrid w:val="0"/>
          <w:sz w:val="28"/>
          <w:szCs w:val="28"/>
          <w:u w:val="single"/>
        </w:rPr>
      </w:pPr>
      <w:r>
        <w:rPr>
          <w:b/>
          <w:bCs/>
          <w:snapToGrid w:val="0"/>
          <w:sz w:val="28"/>
          <w:szCs w:val="28"/>
          <w:u w:val="single"/>
        </w:rPr>
        <w:t xml:space="preserve">SUB: </w:t>
      </w:r>
      <w:r>
        <w:rPr>
          <w:rFonts w:cs="Times New Roman"/>
          <w:b/>
          <w:bCs/>
          <w:sz w:val="28"/>
          <w:szCs w:val="28"/>
          <w:u w:val="single"/>
        </w:rPr>
        <w:t>PREVENTIVE AND BREAKDOWN MAINTENANCE   OF ELEVATORS IN TCB BLIII.</w:t>
      </w:r>
    </w:p>
    <w:p>
      <w:pPr>
        <w:rPr>
          <w:b/>
          <w:bCs/>
          <w:snapToGrid w:val="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755"/>
        <w:gridCol w:w="1559"/>
        <w:gridCol w:w="1560"/>
        <w:gridCol w:w="1842"/>
      </w:tblGrid>
      <w:tr>
        <w:trPr>
          <w:trHeight w:val="2318"/>
        </w:trPr>
        <w:tc>
          <w:tcPr>
            <w:tcW w:w="918" w:type="dxa"/>
          </w:tcPr>
          <w:p>
            <w:pPr>
              <w:rPr>
                <w:b/>
                <w:bCs/>
                <w:snapToGrid w:val="0"/>
                <w:sz w:val="24"/>
                <w:szCs w:val="24"/>
              </w:rPr>
            </w:pPr>
            <w:r>
              <w:rPr>
                <w:b/>
                <w:bCs/>
                <w:snapToGrid w:val="0"/>
                <w:sz w:val="24"/>
                <w:szCs w:val="24"/>
              </w:rPr>
              <w:t>S No</w:t>
            </w:r>
          </w:p>
        </w:tc>
        <w:tc>
          <w:tcPr>
            <w:tcW w:w="3755" w:type="dxa"/>
          </w:tcPr>
          <w:p>
            <w:pPr>
              <w:rPr>
                <w:b/>
                <w:bCs/>
                <w:snapToGrid w:val="0"/>
                <w:sz w:val="24"/>
                <w:szCs w:val="24"/>
              </w:rPr>
            </w:pPr>
            <w:r>
              <w:rPr>
                <w:b/>
                <w:bCs/>
                <w:snapToGrid w:val="0"/>
                <w:sz w:val="24"/>
                <w:szCs w:val="24"/>
              </w:rPr>
              <w:t>Name of Party</w:t>
            </w:r>
          </w:p>
        </w:tc>
        <w:tc>
          <w:tcPr>
            <w:tcW w:w="1559" w:type="dxa"/>
          </w:tcPr>
          <w:p>
            <w:pPr>
              <w:rPr>
                <w:b/>
                <w:bCs/>
                <w:snapToGrid w:val="0"/>
                <w:sz w:val="24"/>
                <w:szCs w:val="24"/>
              </w:rPr>
            </w:pPr>
            <w:r>
              <w:rPr>
                <w:b/>
                <w:bCs/>
                <w:snapToGrid w:val="0"/>
                <w:sz w:val="24"/>
                <w:szCs w:val="24"/>
              </w:rPr>
              <w:t xml:space="preserve">Nos. of Prev. </w:t>
            </w:r>
            <w:proofErr w:type="spellStart"/>
            <w:r>
              <w:rPr>
                <w:b/>
                <w:bCs/>
                <w:snapToGrid w:val="0"/>
                <w:sz w:val="24"/>
                <w:szCs w:val="24"/>
              </w:rPr>
              <w:t>Maint</w:t>
            </w:r>
            <w:proofErr w:type="spellEnd"/>
            <w:r>
              <w:rPr>
                <w:b/>
                <w:bCs/>
                <w:snapToGrid w:val="0"/>
                <w:sz w:val="24"/>
                <w:szCs w:val="24"/>
              </w:rPr>
              <w:t xml:space="preserve">. in a year </w:t>
            </w:r>
          </w:p>
        </w:tc>
        <w:tc>
          <w:tcPr>
            <w:tcW w:w="1560" w:type="dxa"/>
          </w:tcPr>
          <w:p>
            <w:pPr>
              <w:rPr>
                <w:b/>
                <w:bCs/>
                <w:snapToGrid w:val="0"/>
                <w:sz w:val="24"/>
                <w:szCs w:val="24"/>
              </w:rPr>
            </w:pPr>
            <w:r>
              <w:rPr>
                <w:b/>
                <w:bCs/>
                <w:snapToGrid w:val="0"/>
                <w:sz w:val="24"/>
                <w:szCs w:val="24"/>
              </w:rPr>
              <w:t xml:space="preserve">Rate per Prev. </w:t>
            </w:r>
            <w:proofErr w:type="spellStart"/>
            <w:r>
              <w:rPr>
                <w:b/>
                <w:bCs/>
                <w:snapToGrid w:val="0"/>
                <w:sz w:val="24"/>
                <w:szCs w:val="24"/>
              </w:rPr>
              <w:t>Maint</w:t>
            </w:r>
            <w:proofErr w:type="spellEnd"/>
            <w:r>
              <w:rPr>
                <w:b/>
                <w:bCs/>
                <w:snapToGrid w:val="0"/>
                <w:sz w:val="24"/>
                <w:szCs w:val="24"/>
              </w:rPr>
              <w:t>. (Rs.)</w:t>
            </w:r>
          </w:p>
        </w:tc>
        <w:tc>
          <w:tcPr>
            <w:tcW w:w="1842" w:type="dxa"/>
          </w:tcPr>
          <w:p>
            <w:pPr>
              <w:rPr>
                <w:b/>
                <w:bCs/>
                <w:snapToGrid w:val="0"/>
                <w:sz w:val="24"/>
                <w:szCs w:val="24"/>
              </w:rPr>
            </w:pPr>
            <w:r>
              <w:rPr>
                <w:b/>
                <w:bCs/>
                <w:snapToGrid w:val="0"/>
                <w:sz w:val="24"/>
                <w:szCs w:val="24"/>
              </w:rPr>
              <w:t>Amount (Rs.)</w:t>
            </w:r>
          </w:p>
        </w:tc>
      </w:tr>
      <w:tr>
        <w:trPr>
          <w:trHeight w:val="530"/>
        </w:trPr>
        <w:tc>
          <w:tcPr>
            <w:tcW w:w="918" w:type="dxa"/>
          </w:tcPr>
          <w:p>
            <w:pPr>
              <w:rPr>
                <w:b/>
                <w:bCs/>
                <w:snapToGrid w:val="0"/>
                <w:sz w:val="24"/>
                <w:szCs w:val="24"/>
              </w:rPr>
            </w:pPr>
          </w:p>
        </w:tc>
        <w:tc>
          <w:tcPr>
            <w:tcW w:w="3755" w:type="dxa"/>
          </w:tcPr>
          <w:p>
            <w:pPr>
              <w:rPr>
                <w:b/>
                <w:bCs/>
                <w:snapToGrid w:val="0"/>
                <w:sz w:val="24"/>
                <w:szCs w:val="24"/>
              </w:rPr>
            </w:pPr>
          </w:p>
        </w:tc>
        <w:tc>
          <w:tcPr>
            <w:tcW w:w="1559" w:type="dxa"/>
          </w:tcPr>
          <w:p>
            <w:pPr>
              <w:rPr>
                <w:b/>
                <w:bCs/>
                <w:snapToGrid w:val="0"/>
                <w:sz w:val="24"/>
                <w:szCs w:val="24"/>
              </w:rPr>
            </w:pPr>
            <w:r>
              <w:rPr>
                <w:b/>
                <w:bCs/>
                <w:snapToGrid w:val="0"/>
                <w:sz w:val="24"/>
                <w:szCs w:val="24"/>
              </w:rPr>
              <w:t>B</w:t>
            </w:r>
          </w:p>
        </w:tc>
        <w:tc>
          <w:tcPr>
            <w:tcW w:w="1560" w:type="dxa"/>
          </w:tcPr>
          <w:p>
            <w:pPr>
              <w:rPr>
                <w:b/>
                <w:bCs/>
                <w:snapToGrid w:val="0"/>
                <w:sz w:val="24"/>
                <w:szCs w:val="24"/>
              </w:rPr>
            </w:pPr>
            <w:r>
              <w:rPr>
                <w:b/>
                <w:bCs/>
                <w:snapToGrid w:val="0"/>
                <w:sz w:val="24"/>
                <w:szCs w:val="24"/>
              </w:rPr>
              <w:t>C</w:t>
            </w:r>
          </w:p>
        </w:tc>
        <w:tc>
          <w:tcPr>
            <w:tcW w:w="1842" w:type="dxa"/>
          </w:tcPr>
          <w:p>
            <w:pPr>
              <w:rPr>
                <w:b/>
                <w:bCs/>
                <w:snapToGrid w:val="0"/>
                <w:sz w:val="24"/>
                <w:szCs w:val="24"/>
              </w:rPr>
            </w:pPr>
            <w:r>
              <w:rPr>
                <w:b/>
                <w:bCs/>
                <w:snapToGrid w:val="0"/>
                <w:sz w:val="24"/>
                <w:szCs w:val="24"/>
              </w:rPr>
              <w:t>D = ( B X C)</w:t>
            </w:r>
          </w:p>
        </w:tc>
      </w:tr>
      <w:tr>
        <w:trPr>
          <w:trHeight w:val="1628"/>
        </w:trPr>
        <w:tc>
          <w:tcPr>
            <w:tcW w:w="918" w:type="dxa"/>
            <w:tcBorders>
              <w:bottom w:val="single" w:sz="4" w:space="0" w:color="auto"/>
            </w:tcBorders>
          </w:tcPr>
          <w:p>
            <w:pPr>
              <w:rPr>
                <w:b/>
                <w:bCs/>
                <w:snapToGrid w:val="0"/>
                <w:sz w:val="24"/>
                <w:szCs w:val="24"/>
              </w:rPr>
            </w:pPr>
          </w:p>
          <w:p>
            <w:pPr>
              <w:rPr>
                <w:b/>
                <w:bCs/>
                <w:snapToGrid w:val="0"/>
                <w:sz w:val="24"/>
                <w:szCs w:val="24"/>
              </w:rPr>
            </w:pPr>
            <w:r>
              <w:rPr>
                <w:b/>
                <w:bCs/>
                <w:snapToGrid w:val="0"/>
                <w:sz w:val="24"/>
                <w:szCs w:val="24"/>
              </w:rPr>
              <w:t>1</w:t>
            </w:r>
          </w:p>
        </w:tc>
        <w:tc>
          <w:tcPr>
            <w:tcW w:w="3755" w:type="dxa"/>
            <w:tcBorders>
              <w:bottom w:val="single" w:sz="4" w:space="0" w:color="auto"/>
            </w:tcBorders>
          </w:tcPr>
          <w:p>
            <w:pPr>
              <w:rPr>
                <w:b/>
                <w:bCs/>
                <w:snapToGrid w:val="0"/>
                <w:sz w:val="24"/>
                <w:szCs w:val="24"/>
              </w:rPr>
            </w:pPr>
            <w:r>
              <w:rPr>
                <w:snapToGrid w:val="0"/>
                <w:sz w:val="24"/>
                <w:szCs w:val="24"/>
              </w:rPr>
              <w:t xml:space="preserve"> </w:t>
            </w:r>
            <w:r>
              <w:rPr>
                <w:b/>
                <w:bCs/>
                <w:snapToGrid w:val="0"/>
                <w:sz w:val="24"/>
                <w:szCs w:val="24"/>
              </w:rPr>
              <w:t xml:space="preserve">PREVENTIVE AND BREAKDOWN MAINT. OF (M/C) </w:t>
            </w:r>
            <w:bookmarkStart w:id="0" w:name="_GoBack"/>
            <w:bookmarkEnd w:id="0"/>
            <w:r>
              <w:rPr>
                <w:b/>
                <w:bCs/>
                <w:snapToGrid w:val="0"/>
                <w:sz w:val="24"/>
                <w:szCs w:val="24"/>
              </w:rPr>
              <w:t>ELEVATORS IN TCB BLII.</w:t>
            </w:r>
          </w:p>
          <w:p>
            <w:pPr>
              <w:rPr>
                <w:b/>
                <w:bCs/>
                <w:snapToGrid w:val="0"/>
                <w:sz w:val="24"/>
                <w:szCs w:val="24"/>
              </w:rPr>
            </w:pPr>
          </w:p>
        </w:tc>
        <w:tc>
          <w:tcPr>
            <w:tcW w:w="1559" w:type="dxa"/>
            <w:tcBorders>
              <w:bottom w:val="single" w:sz="4" w:space="0" w:color="auto"/>
            </w:tcBorders>
          </w:tcPr>
          <w:p>
            <w:pPr>
              <w:rPr>
                <w:b/>
                <w:bCs/>
                <w:snapToGrid w:val="0"/>
                <w:sz w:val="24"/>
                <w:szCs w:val="24"/>
              </w:rPr>
            </w:pPr>
          </w:p>
          <w:p>
            <w:pPr>
              <w:rPr>
                <w:b/>
                <w:bCs/>
                <w:snapToGrid w:val="0"/>
                <w:sz w:val="24"/>
                <w:szCs w:val="24"/>
              </w:rPr>
            </w:pPr>
            <w:r>
              <w:rPr>
                <w:b/>
                <w:bCs/>
                <w:snapToGrid w:val="0"/>
                <w:sz w:val="24"/>
                <w:szCs w:val="24"/>
              </w:rPr>
              <w:t>52 Nos.</w:t>
            </w:r>
          </w:p>
        </w:tc>
        <w:tc>
          <w:tcPr>
            <w:tcW w:w="1560" w:type="dxa"/>
            <w:tcBorders>
              <w:bottom w:val="single" w:sz="4" w:space="0" w:color="auto"/>
            </w:tcBorders>
          </w:tcPr>
          <w:p>
            <w:pPr>
              <w:rPr>
                <w:b/>
                <w:bCs/>
                <w:snapToGrid w:val="0"/>
                <w:sz w:val="24"/>
                <w:szCs w:val="24"/>
              </w:rPr>
            </w:pPr>
          </w:p>
          <w:p>
            <w:pPr>
              <w:rPr>
                <w:b/>
                <w:bCs/>
                <w:snapToGrid w:val="0"/>
                <w:sz w:val="24"/>
                <w:szCs w:val="24"/>
              </w:rPr>
            </w:pPr>
          </w:p>
        </w:tc>
        <w:tc>
          <w:tcPr>
            <w:tcW w:w="1842" w:type="dxa"/>
            <w:tcBorders>
              <w:bottom w:val="single" w:sz="4" w:space="0" w:color="auto"/>
            </w:tcBorders>
          </w:tcPr>
          <w:p>
            <w:pPr>
              <w:rPr>
                <w:b/>
                <w:bCs/>
                <w:snapToGrid w:val="0"/>
                <w:sz w:val="24"/>
                <w:szCs w:val="24"/>
              </w:rPr>
            </w:pPr>
          </w:p>
          <w:p>
            <w:pPr>
              <w:rPr>
                <w:b/>
                <w:bCs/>
                <w:snapToGrid w:val="0"/>
                <w:sz w:val="24"/>
                <w:szCs w:val="24"/>
              </w:rPr>
            </w:pPr>
          </w:p>
        </w:tc>
      </w:tr>
      <w:tr>
        <w:trPr>
          <w:trHeight w:val="935"/>
        </w:trPr>
        <w:tc>
          <w:tcPr>
            <w:tcW w:w="918" w:type="dxa"/>
          </w:tcPr>
          <w:p>
            <w:pPr>
              <w:rPr>
                <w:b/>
                <w:bCs/>
                <w:snapToGrid w:val="0"/>
                <w:sz w:val="24"/>
                <w:szCs w:val="24"/>
              </w:rPr>
            </w:pPr>
          </w:p>
        </w:tc>
        <w:tc>
          <w:tcPr>
            <w:tcW w:w="3755" w:type="dxa"/>
          </w:tcPr>
          <w:p>
            <w:pPr>
              <w:rPr>
                <w:b/>
                <w:bCs/>
                <w:snapToGrid w:val="0"/>
                <w:sz w:val="24"/>
                <w:szCs w:val="24"/>
              </w:rPr>
            </w:pPr>
          </w:p>
        </w:tc>
        <w:tc>
          <w:tcPr>
            <w:tcW w:w="1559" w:type="dxa"/>
          </w:tcPr>
          <w:p>
            <w:pPr>
              <w:rPr>
                <w:b/>
                <w:bCs/>
                <w:snapToGrid w:val="0"/>
                <w:sz w:val="24"/>
                <w:szCs w:val="24"/>
              </w:rPr>
            </w:pPr>
          </w:p>
        </w:tc>
        <w:tc>
          <w:tcPr>
            <w:tcW w:w="1560" w:type="dxa"/>
          </w:tcPr>
          <w:p>
            <w:pPr>
              <w:rPr>
                <w:b/>
                <w:bCs/>
                <w:snapToGrid w:val="0"/>
                <w:sz w:val="24"/>
                <w:szCs w:val="24"/>
              </w:rPr>
            </w:pPr>
          </w:p>
          <w:p>
            <w:pPr>
              <w:rPr>
                <w:b/>
                <w:bCs/>
                <w:snapToGrid w:val="0"/>
                <w:sz w:val="24"/>
                <w:szCs w:val="24"/>
              </w:rPr>
            </w:pPr>
            <w:r>
              <w:rPr>
                <w:b/>
                <w:bCs/>
                <w:snapToGrid w:val="0"/>
                <w:sz w:val="24"/>
                <w:szCs w:val="24"/>
              </w:rPr>
              <w:t>Total Value (</w:t>
            </w:r>
            <w:proofErr w:type="spellStart"/>
            <w:r>
              <w:rPr>
                <w:b/>
                <w:bCs/>
                <w:snapToGrid w:val="0"/>
                <w:sz w:val="24"/>
                <w:szCs w:val="24"/>
              </w:rPr>
              <w:t>Rs</w:t>
            </w:r>
            <w:proofErr w:type="spellEnd"/>
            <w:r>
              <w:rPr>
                <w:b/>
                <w:bCs/>
                <w:snapToGrid w:val="0"/>
                <w:sz w:val="24"/>
                <w:szCs w:val="24"/>
              </w:rPr>
              <w:t>.)</w:t>
            </w:r>
          </w:p>
        </w:tc>
        <w:tc>
          <w:tcPr>
            <w:tcW w:w="1842" w:type="dxa"/>
          </w:tcPr>
          <w:p>
            <w:pPr>
              <w:rPr>
                <w:b/>
                <w:bCs/>
                <w:snapToGrid w:val="0"/>
                <w:sz w:val="24"/>
                <w:szCs w:val="24"/>
              </w:rPr>
            </w:pPr>
          </w:p>
          <w:p>
            <w:pPr>
              <w:rPr>
                <w:b/>
                <w:bCs/>
                <w:snapToGrid w:val="0"/>
                <w:sz w:val="24"/>
                <w:szCs w:val="24"/>
              </w:rPr>
            </w:pPr>
          </w:p>
        </w:tc>
      </w:tr>
      <w:tr>
        <w:trPr>
          <w:trHeight w:val="935"/>
        </w:trPr>
        <w:tc>
          <w:tcPr>
            <w:tcW w:w="918" w:type="dxa"/>
          </w:tcPr>
          <w:p>
            <w:pPr>
              <w:rPr>
                <w:b/>
                <w:bCs/>
                <w:snapToGrid w:val="0"/>
                <w:sz w:val="24"/>
                <w:szCs w:val="24"/>
              </w:rPr>
            </w:pPr>
          </w:p>
        </w:tc>
        <w:tc>
          <w:tcPr>
            <w:tcW w:w="3755" w:type="dxa"/>
          </w:tcPr>
          <w:p>
            <w:pPr>
              <w:rPr>
                <w:b/>
                <w:bCs/>
                <w:snapToGrid w:val="0"/>
                <w:sz w:val="24"/>
                <w:szCs w:val="24"/>
              </w:rPr>
            </w:pPr>
            <w:r>
              <w:rPr>
                <w:b/>
                <w:bCs/>
                <w:snapToGrid w:val="0"/>
                <w:sz w:val="24"/>
                <w:szCs w:val="24"/>
              </w:rPr>
              <w:t>GST EXTRA</w:t>
            </w:r>
          </w:p>
        </w:tc>
        <w:tc>
          <w:tcPr>
            <w:tcW w:w="1559" w:type="dxa"/>
          </w:tcPr>
          <w:p>
            <w:pPr>
              <w:rPr>
                <w:b/>
                <w:bCs/>
                <w:snapToGrid w:val="0"/>
                <w:sz w:val="24"/>
                <w:szCs w:val="24"/>
              </w:rPr>
            </w:pPr>
          </w:p>
        </w:tc>
        <w:tc>
          <w:tcPr>
            <w:tcW w:w="1560" w:type="dxa"/>
          </w:tcPr>
          <w:p>
            <w:pPr>
              <w:rPr>
                <w:b/>
                <w:bCs/>
                <w:snapToGrid w:val="0"/>
                <w:sz w:val="24"/>
                <w:szCs w:val="24"/>
              </w:rPr>
            </w:pPr>
          </w:p>
        </w:tc>
        <w:tc>
          <w:tcPr>
            <w:tcW w:w="1842" w:type="dxa"/>
          </w:tcPr>
          <w:p>
            <w:pPr>
              <w:rPr>
                <w:b/>
                <w:bCs/>
                <w:snapToGrid w:val="0"/>
                <w:sz w:val="24"/>
                <w:szCs w:val="24"/>
              </w:rPr>
            </w:pPr>
          </w:p>
        </w:tc>
      </w:tr>
      <w:tr>
        <w:trPr>
          <w:trHeight w:val="935"/>
        </w:trPr>
        <w:tc>
          <w:tcPr>
            <w:tcW w:w="918" w:type="dxa"/>
          </w:tcPr>
          <w:p>
            <w:pPr>
              <w:rPr>
                <w:b/>
                <w:bCs/>
                <w:snapToGrid w:val="0"/>
                <w:sz w:val="24"/>
                <w:szCs w:val="24"/>
              </w:rPr>
            </w:pPr>
          </w:p>
        </w:tc>
        <w:tc>
          <w:tcPr>
            <w:tcW w:w="3755" w:type="dxa"/>
          </w:tcPr>
          <w:p>
            <w:pPr>
              <w:rPr>
                <w:b/>
                <w:bCs/>
                <w:snapToGrid w:val="0"/>
                <w:sz w:val="24"/>
                <w:szCs w:val="24"/>
              </w:rPr>
            </w:pPr>
            <w:r>
              <w:rPr>
                <w:b/>
                <w:bCs/>
                <w:snapToGrid w:val="0"/>
                <w:sz w:val="24"/>
                <w:szCs w:val="24"/>
              </w:rPr>
              <w:t>TOTAL AMOUNT</w:t>
            </w:r>
          </w:p>
        </w:tc>
        <w:tc>
          <w:tcPr>
            <w:tcW w:w="1559" w:type="dxa"/>
          </w:tcPr>
          <w:p>
            <w:pPr>
              <w:rPr>
                <w:b/>
                <w:bCs/>
                <w:snapToGrid w:val="0"/>
                <w:sz w:val="24"/>
                <w:szCs w:val="24"/>
              </w:rPr>
            </w:pPr>
          </w:p>
        </w:tc>
        <w:tc>
          <w:tcPr>
            <w:tcW w:w="1560" w:type="dxa"/>
          </w:tcPr>
          <w:p>
            <w:pPr>
              <w:rPr>
                <w:b/>
                <w:bCs/>
                <w:snapToGrid w:val="0"/>
                <w:sz w:val="24"/>
                <w:szCs w:val="24"/>
              </w:rPr>
            </w:pPr>
          </w:p>
        </w:tc>
        <w:tc>
          <w:tcPr>
            <w:tcW w:w="1842" w:type="dxa"/>
          </w:tcPr>
          <w:p>
            <w:pPr>
              <w:rPr>
                <w:b/>
                <w:bCs/>
                <w:snapToGrid w:val="0"/>
                <w:sz w:val="24"/>
                <w:szCs w:val="24"/>
              </w:rPr>
            </w:pPr>
          </w:p>
        </w:tc>
      </w:tr>
    </w:tbl>
    <w:p>
      <w:pPr>
        <w:rPr>
          <w:b/>
          <w:bCs/>
          <w:snapToGrid w:val="0"/>
          <w:sz w:val="24"/>
          <w:szCs w:val="24"/>
        </w:rPr>
      </w:pPr>
    </w:p>
    <w:p>
      <w:pPr>
        <w:rPr>
          <w:b/>
          <w:bCs/>
          <w:sz w:val="24"/>
          <w:szCs w:val="24"/>
        </w:rPr>
      </w:pPr>
    </w:p>
    <w:p>
      <w:pPr>
        <w:rPr>
          <w:b/>
          <w:bCs/>
          <w:sz w:val="24"/>
          <w:szCs w:val="24"/>
        </w:rPr>
      </w:pPr>
      <w:r>
        <w:rPr>
          <w:b/>
          <w:bCs/>
          <w:sz w:val="24"/>
          <w:szCs w:val="24"/>
        </w:rPr>
        <w:t xml:space="preserve">Total Amount </w:t>
      </w:r>
      <w:proofErr w:type="gramStart"/>
      <w:r>
        <w:rPr>
          <w:b/>
          <w:bCs/>
          <w:sz w:val="24"/>
          <w:szCs w:val="24"/>
        </w:rPr>
        <w:t>( in</w:t>
      </w:r>
      <w:proofErr w:type="gramEnd"/>
      <w:r>
        <w:rPr>
          <w:b/>
          <w:bCs/>
          <w:sz w:val="24"/>
          <w:szCs w:val="24"/>
        </w:rPr>
        <w:t xml:space="preserve"> words) :   </w:t>
      </w: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pPr>
        <w:rPr>
          <w:b/>
          <w:bCs/>
          <w:sz w:val="24"/>
          <w:szCs w:val="24"/>
        </w:rPr>
      </w:pPr>
      <w:r>
        <w:rPr>
          <w:b/>
          <w:bCs/>
          <w:color w:val="000000"/>
          <w:sz w:val="24"/>
          <w:szCs w:val="24"/>
        </w:rPr>
        <w:tab/>
      </w:r>
      <w:r>
        <w:rPr>
          <w:b/>
          <w:bCs/>
          <w:color w:val="000000"/>
          <w:sz w:val="24"/>
          <w:szCs w:val="24"/>
        </w:rPr>
        <w:tab/>
      </w:r>
      <w:r>
        <w:rPr>
          <w:b/>
          <w:bCs/>
          <w:color w:val="000000"/>
          <w:sz w:val="24"/>
          <w:szCs w:val="24"/>
        </w:rPr>
        <w:tab/>
      </w:r>
      <w:r>
        <w:rPr>
          <w:b/>
          <w:bCs/>
          <w:color w:val="000000"/>
          <w:sz w:val="24"/>
          <w:szCs w:val="24"/>
        </w:rPr>
        <w:tab/>
      </w:r>
    </w:p>
    <w:p>
      <w:pPr>
        <w:jc w:val="center"/>
        <w:rPr>
          <w:b/>
          <w:bCs/>
          <w:color w:val="000000"/>
          <w:sz w:val="24"/>
          <w:szCs w:val="24"/>
        </w:rPr>
      </w:pPr>
    </w:p>
    <w:p>
      <w:pPr>
        <w:jc w:val="center"/>
        <w:rPr>
          <w:b/>
          <w:bCs/>
          <w:color w:val="000000"/>
          <w:sz w:val="24"/>
          <w:szCs w:val="24"/>
        </w:rPr>
      </w:pPr>
    </w:p>
    <w:p>
      <w:pPr>
        <w:rPr>
          <w:snapToGrid w:val="0"/>
          <w:sz w:val="24"/>
          <w:szCs w:val="24"/>
        </w:rPr>
      </w:pPr>
    </w:p>
    <w:p>
      <w:pPr>
        <w:jc w:val="both"/>
        <w:rPr>
          <w:rFonts w:eastAsia="MS Mincho"/>
          <w:b/>
          <w:bCs/>
          <w:sz w:val="22"/>
          <w:szCs w:val="22"/>
          <w:u w:val="single"/>
        </w:rPr>
      </w:pPr>
      <w:r>
        <w:rPr>
          <w:rFonts w:ascii="Verdana" w:hAnsi="Verdana"/>
          <w:b/>
          <w:bCs/>
          <w:color w:val="333333"/>
          <w:u w:val="single"/>
          <w:shd w:val="clear" w:color="auto" w:fill="D6FFCC"/>
        </w:rPr>
        <w:t>1.NOTE: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2</w:t>
      </w:r>
      <w:r>
        <w:rPr>
          <w:rFonts w:ascii="Courier New" w:hAnsi="Courier New" w:cs="Courier New"/>
          <w:b/>
          <w:bCs/>
          <w:color w:val="000000"/>
          <w:sz w:val="24"/>
          <w:szCs w:val="24"/>
          <w:u w:val="single"/>
          <w:shd w:val="clear" w:color="auto" w:fill="FFFFFF"/>
        </w:rPr>
        <w:t>.</w:t>
      </w:r>
      <w:r>
        <w:rPr>
          <w:b/>
          <w:bCs/>
          <w:snapToGrid w:val="0"/>
          <w:sz w:val="24"/>
          <w:szCs w:val="24"/>
          <w:u w:val="single"/>
        </w:rPr>
        <w:t xml:space="preserve"> Rate per Prev. </w:t>
      </w:r>
      <w:proofErr w:type="spellStart"/>
      <w:r>
        <w:rPr>
          <w:b/>
          <w:bCs/>
          <w:snapToGrid w:val="0"/>
          <w:sz w:val="24"/>
          <w:szCs w:val="24"/>
          <w:u w:val="single"/>
        </w:rPr>
        <w:t>Maint.per</w:t>
      </w:r>
      <w:proofErr w:type="spellEnd"/>
      <w:r>
        <w:rPr>
          <w:b/>
          <w:bCs/>
          <w:snapToGrid w:val="0"/>
          <w:sz w:val="24"/>
          <w:szCs w:val="24"/>
          <w:u w:val="single"/>
        </w:rPr>
        <w:t xml:space="preserve"> M/C (ELEVATOR)</w:t>
      </w:r>
      <w:r>
        <w:rPr>
          <w:snapToGrid w:val="0"/>
          <w:sz w:val="24"/>
          <w:szCs w:val="24"/>
        </w:rPr>
        <w:t xml:space="preserve"> </w:t>
      </w:r>
      <w:r>
        <w:rPr>
          <w:rFonts w:ascii="Courier New" w:hAnsi="Courier New" w:cs="Courier New"/>
          <w:b/>
          <w:bCs/>
          <w:color w:val="000000"/>
          <w:sz w:val="24"/>
          <w:szCs w:val="24"/>
          <w:u w:val="single"/>
          <w:shd w:val="clear" w:color="auto" w:fill="FFFFFF"/>
        </w:rPr>
        <w:t>shall be quoted by bidders excluding Bonus.</w:t>
      </w: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lastRenderedPageBreak/>
        <w:t xml:space="preserve">3. </w:t>
      </w:r>
      <w:r>
        <w:rPr>
          <w:b/>
          <w:bCs/>
          <w:snapToGrid w:val="0"/>
          <w:sz w:val="24"/>
          <w:szCs w:val="24"/>
          <w:u w:val="single"/>
        </w:rPr>
        <w:t xml:space="preserve">Rate per Prev. </w:t>
      </w:r>
      <w:proofErr w:type="spellStart"/>
      <w:r>
        <w:rPr>
          <w:b/>
          <w:bCs/>
          <w:snapToGrid w:val="0"/>
          <w:sz w:val="24"/>
          <w:szCs w:val="24"/>
          <w:u w:val="single"/>
        </w:rPr>
        <w:t>Maint.per</w:t>
      </w:r>
      <w:proofErr w:type="spellEnd"/>
      <w:r>
        <w:rPr>
          <w:b/>
          <w:bCs/>
          <w:snapToGrid w:val="0"/>
          <w:sz w:val="24"/>
          <w:szCs w:val="24"/>
          <w:u w:val="single"/>
        </w:rPr>
        <w:t xml:space="preserve"> PLANT </w:t>
      </w:r>
      <w:r>
        <w:rPr>
          <w:rFonts w:ascii="Verdana" w:hAnsi="Verdana" w:cs="Times New Roman"/>
          <w:color w:val="333333"/>
          <w:sz w:val="24"/>
          <w:szCs w:val="24"/>
        </w:rPr>
        <w:t xml:space="preserve">  Shall </w:t>
      </w:r>
      <w:proofErr w:type="gramStart"/>
      <w:r>
        <w:rPr>
          <w:rFonts w:ascii="Verdana" w:hAnsi="Verdana" w:cs="Times New Roman"/>
          <w:color w:val="333333"/>
          <w:sz w:val="24"/>
          <w:szCs w:val="24"/>
        </w:rPr>
        <w:t>be  quoted</w:t>
      </w:r>
      <w:proofErr w:type="gramEnd"/>
      <w:r>
        <w:rPr>
          <w:rFonts w:ascii="Verdana" w:hAnsi="Verdana" w:cs="Times New Roman"/>
          <w:color w:val="333333"/>
          <w:sz w:val="24"/>
          <w:szCs w:val="24"/>
        </w:rPr>
        <w:t xml:space="preserve"> both in figures and in words.</w:t>
      </w:r>
    </w:p>
    <w:p>
      <w:pPr>
        <w:pStyle w:val="ListParagraph"/>
        <w:numPr>
          <w:ilvl w:val="0"/>
          <w:numId w:val="2"/>
        </w:numPr>
        <w:spacing w:after="160" w:line="259" w:lineRule="auto"/>
      </w:pPr>
      <w:r>
        <w:t>GST will be Paid Extra as applicable.</w:t>
      </w:r>
    </w:p>
    <w:p>
      <w:pPr>
        <w:pStyle w:val="ListParagraph"/>
        <w:numPr>
          <w:ilvl w:val="0"/>
          <w:numId w:val="2"/>
        </w:numPr>
        <w:spacing w:after="160" w:line="259" w:lineRule="auto"/>
      </w:pPr>
      <w:r>
        <w:t xml:space="preserve">SAC along with rate of </w:t>
      </w:r>
      <w:proofErr w:type="gramStart"/>
      <w:r>
        <w:t>GST .</w:t>
      </w:r>
      <w:proofErr w:type="gramEnd"/>
    </w:p>
    <w:p>
      <w:pPr>
        <w:pStyle w:val="ListParagraph"/>
        <w:numPr>
          <w:ilvl w:val="0"/>
          <w:numId w:val="2"/>
        </w:numPr>
        <w:spacing w:after="160" w:line="259" w:lineRule="auto"/>
      </w:pPr>
      <w:r>
        <w:t xml:space="preserve">Any loss/ delay in tax credit due to the reason attributable to the contractors shall be recovered from them. </w:t>
      </w:r>
    </w:p>
    <w:p>
      <w:pPr>
        <w:pStyle w:val="ListParagraph"/>
        <w:ind w:left="1080"/>
      </w:pPr>
      <w:r>
        <w:t>.</w:t>
      </w:r>
    </w:p>
    <w:p>
      <w:pPr>
        <w:pStyle w:val="ListParagraph"/>
        <w:ind w:left="1080"/>
        <w:rPr>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multiplying the unit price by the quantity), the unit price shall prevail and the total price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obvious misplacement of the decimal point in the unit price, in which case the total price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xml:space="preserve">(b) If there is an error in a total corresponding to the addition or subtraction of </w:t>
      </w:r>
      <w:proofErr w:type="gramStart"/>
      <w:r>
        <w:rPr>
          <w:rFonts w:ascii="Verdana" w:hAnsi="Verdana" w:cs="Times New Roman"/>
          <w:color w:val="333333"/>
          <w:sz w:val="24"/>
          <w:szCs w:val="24"/>
        </w:rPr>
        <w:t>subtotals ,the</w:t>
      </w:r>
      <w:proofErr w:type="gramEnd"/>
      <w:r>
        <w:rPr>
          <w:rFonts w:ascii="Verdana" w:hAnsi="Verdana" w:cs="Times New Roman"/>
          <w:color w:val="333333"/>
          <w:sz w:val="24"/>
          <w:szCs w:val="24"/>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 xml:space="preserve">overwriting </w:t>
      </w:r>
      <w:proofErr w:type="gramStart"/>
      <w:r>
        <w:rPr>
          <w:rFonts w:ascii="Verdana" w:hAnsi="Verdana" w:cs="Times New Roman"/>
          <w:b/>
          <w:bCs/>
          <w:color w:val="333333"/>
          <w:sz w:val="24"/>
          <w:szCs w:val="24"/>
          <w:u w:val="single"/>
        </w:rPr>
        <w:t>clause  as</w:t>
      </w:r>
      <w:proofErr w:type="gramEnd"/>
      <w:r>
        <w:rPr>
          <w:rFonts w:ascii="Verdana" w:hAnsi="Verdana" w:cs="Times New Roman"/>
          <w:b/>
          <w:bCs/>
          <w:color w:val="333333"/>
          <w:sz w:val="24"/>
          <w:szCs w:val="24"/>
          <w:u w:val="single"/>
        </w:rPr>
        <w:t xml:space="preserve">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pStyle w:val="ListParagraph"/>
        <w:ind w:left="1080"/>
        <w:rPr>
          <w:b/>
          <w:bCs/>
          <w:sz w:val="24"/>
          <w:szCs w:val="24"/>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sz w:val="24"/>
          <w:szCs w:val="24"/>
        </w:rPr>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lastRenderedPageBreak/>
        <w:t>i</w:t>
      </w:r>
      <w:proofErr w:type="spellEnd"/>
      <w:r>
        <w:rPr>
          <w:rFonts w:cs="Times New Roman"/>
          <w:b/>
          <w:bCs/>
          <w:i/>
          <w:iCs/>
          <w:sz w:val="24"/>
          <w:szCs w:val="24"/>
          <w:u w:val="single"/>
        </w:rPr>
        <w:t xml:space="preserve">. In the course of </w:t>
      </w:r>
      <w:proofErr w:type="gramStart"/>
      <w:r>
        <w:rPr>
          <w:rFonts w:cs="Times New Roman"/>
          <w:b/>
          <w:bCs/>
          <w:i/>
          <w:iCs/>
          <w:sz w:val="24"/>
          <w:szCs w:val="24"/>
          <w:u w:val="single"/>
        </w:rPr>
        <w:t>evaluation ,</w:t>
      </w:r>
      <w:proofErr w:type="gramEnd"/>
      <w:r>
        <w:rPr>
          <w:rFonts w:cs="Times New Roman"/>
          <w:b/>
          <w:bCs/>
          <w:i/>
          <w:iCs/>
          <w:sz w:val="24"/>
          <w:szCs w:val="24"/>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 xml:space="preserve">ii. In case more than one bidder happens to occupy the L-1 status even after soliciting </w:t>
      </w:r>
      <w:proofErr w:type="gramStart"/>
      <w:r>
        <w:rPr>
          <w:rFonts w:cs="Times New Roman"/>
          <w:b/>
          <w:bCs/>
          <w:i/>
          <w:iCs/>
          <w:sz w:val="24"/>
          <w:szCs w:val="24"/>
          <w:u w:val="single"/>
        </w:rPr>
        <w:t>discount ,</w:t>
      </w:r>
      <w:proofErr w:type="gramEnd"/>
      <w:r>
        <w:rPr>
          <w:rFonts w:cs="Times New Roman"/>
          <w:b/>
          <w:bCs/>
          <w:i/>
          <w:iCs/>
          <w:sz w:val="24"/>
          <w:szCs w:val="24"/>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tabs>
          <w:tab w:val="left" w:pos="3060"/>
          <w:tab w:val="left" w:pos="3420"/>
          <w:tab w:val="left" w:pos="3690"/>
          <w:tab w:val="left" w:pos="4140"/>
          <w:tab w:val="left" w:pos="8460"/>
        </w:tabs>
        <w:spacing w:before="120" w:after="120"/>
        <w:rPr>
          <w:rFonts w:cs="Times New Roman"/>
          <w:i/>
          <w:iCs/>
        </w:rPr>
      </w:pPr>
      <w:r>
        <w:rPr>
          <w:rFonts w:cs="Times New Roman"/>
          <w:b/>
          <w:bCs/>
          <w:i/>
          <w:iCs/>
          <w:szCs w:val="22"/>
        </w:rPr>
        <w:t xml:space="preserve">.                                                                                                                                             </w:t>
      </w:r>
      <w:r>
        <w:rPr>
          <w:b/>
          <w:bCs/>
        </w:rPr>
        <w:t>DY MGR (FRX)</w:t>
      </w:r>
    </w:p>
    <w:p>
      <w:pPr>
        <w:pStyle w:val="ListParagraph"/>
        <w:ind w:left="1080"/>
        <w:rPr>
          <w:b/>
          <w:bCs/>
        </w:rPr>
      </w:pPr>
    </w:p>
    <w:p>
      <w:pPr>
        <w:rPr>
          <w:sz w:val="24"/>
          <w:szCs w:val="24"/>
        </w:rPr>
      </w:pPr>
    </w:p>
    <w:p>
      <w:pPr>
        <w:jc w:val="center"/>
        <w:rPr>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napToGrid w:val="0"/>
          <w:sz w:val="24"/>
          <w:szCs w:val="24"/>
        </w:rPr>
      </w:pPr>
    </w:p>
    <w:p>
      <w:pPr>
        <w:jc w:val="center"/>
      </w:pPr>
    </w:p>
    <w:p>
      <w:pPr>
        <w:jc w:val="center"/>
      </w:pPr>
    </w:p>
    <w:p>
      <w:pPr>
        <w:jc w:val="center"/>
      </w:pPr>
    </w:p>
    <w:p>
      <w:pPr>
        <w:rPr>
          <w:b/>
          <w:bCs/>
          <w:color w:val="000000"/>
          <w:sz w:val="24"/>
          <w:szCs w:val="24"/>
        </w:rPr>
      </w:pPr>
      <w:r>
        <w:rPr>
          <w:b/>
          <w:bCs/>
          <w:color w:val="000000"/>
          <w:sz w:val="24"/>
          <w:szCs w:val="24"/>
        </w:rPr>
        <w:tab/>
      </w:r>
      <w:r>
        <w:rPr>
          <w:b/>
          <w:bCs/>
          <w:color w:val="000000"/>
          <w:sz w:val="24"/>
          <w:szCs w:val="24"/>
        </w:rPr>
        <w:tab/>
      </w:r>
      <w:r>
        <w:rPr>
          <w:b/>
          <w:bCs/>
          <w:color w:val="000000"/>
          <w:sz w:val="24"/>
          <w:szCs w:val="24"/>
        </w:rPr>
        <w:tab/>
      </w:r>
      <w:r>
        <w:rPr>
          <w:b/>
          <w:bCs/>
          <w:color w:val="000000"/>
          <w:sz w:val="24"/>
          <w:szCs w:val="24"/>
        </w:rPr>
        <w:tab/>
        <w:t xml:space="preserve">        </w:t>
      </w:r>
      <w:r>
        <w:rPr>
          <w:b/>
          <w:bCs/>
          <w:color w:val="000000"/>
          <w:sz w:val="24"/>
          <w:szCs w:val="24"/>
        </w:rPr>
        <w:tab/>
        <w:t>DY.MGR (FRX)</w:t>
      </w:r>
    </w:p>
    <w:p>
      <w:pPr>
        <w:rPr>
          <w:b/>
          <w:bCs/>
          <w:color w:val="000000"/>
          <w:sz w:val="24"/>
          <w:szCs w:val="24"/>
        </w:rPr>
      </w:pPr>
    </w:p>
    <w:p/>
    <w:sect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35F82-17EE-4F48-8194-4018070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uiPriority w:val="9"/>
    <w:qFormat/>
    <w:pPr>
      <w:pBdr>
        <w:bottom w:val="thinThickSmallGap" w:sz="12" w:space="1" w:color="943634" w:themeColor="accent2" w:themeShade="BF"/>
      </w:pBdr>
      <w:spacing w:before="400" w:after="200" w:line="252" w:lineRule="auto"/>
      <w:jc w:val="center"/>
      <w:outlineLvl w:val="0"/>
    </w:pPr>
    <w:rPr>
      <w:rFonts w:asciiTheme="majorHAnsi" w:eastAsiaTheme="minorHAnsi" w:hAnsiTheme="majorHAnsi" w:cstheme="majorBidi"/>
      <w:caps/>
      <w:color w:val="632423" w:themeColor="accent2" w:themeShade="80"/>
      <w:spacing w:val="20"/>
      <w:sz w:val="28"/>
      <w:szCs w:val="28"/>
      <w:lang w:bidi="en-US"/>
    </w:rPr>
  </w:style>
  <w:style w:type="paragraph" w:styleId="Heading2">
    <w:name w:val="heading 2"/>
    <w:basedOn w:val="Normal"/>
    <w:next w:val="Normal"/>
    <w:link w:val="Heading2Char"/>
    <w:uiPriority w:val="9"/>
    <w:semiHidden/>
    <w:unhideWhenUsed/>
    <w:qFormat/>
    <w:pPr>
      <w:pBdr>
        <w:bottom w:val="single" w:sz="4" w:space="1" w:color="622423" w:themeColor="accent2" w:themeShade="7F"/>
      </w:pBdr>
      <w:spacing w:before="400" w:after="200" w:line="252" w:lineRule="auto"/>
      <w:jc w:val="center"/>
      <w:outlineLvl w:val="1"/>
    </w:pPr>
    <w:rPr>
      <w:rFonts w:asciiTheme="majorHAnsi" w:eastAsiaTheme="minorHAnsi" w:hAnsiTheme="majorHAnsi" w:cstheme="majorBidi"/>
      <w:caps/>
      <w:color w:val="632423" w:themeColor="accent2" w:themeShade="80"/>
      <w:spacing w:val="15"/>
      <w:sz w:val="24"/>
      <w:szCs w:val="24"/>
      <w:lang w:bidi="en-US"/>
    </w:rPr>
  </w:style>
  <w:style w:type="paragraph" w:styleId="Heading3">
    <w:name w:val="heading 3"/>
    <w:basedOn w:val="Normal"/>
    <w:next w:val="Normal"/>
    <w:link w:val="Heading3Char"/>
    <w:uiPriority w:val="9"/>
    <w:semiHidden/>
    <w:unhideWhenUsed/>
    <w:qFormat/>
    <w:pPr>
      <w:pBdr>
        <w:top w:val="dotted" w:sz="4" w:space="1" w:color="622423" w:themeColor="accent2" w:themeShade="7F"/>
        <w:bottom w:val="dotted" w:sz="4" w:space="1" w:color="622423" w:themeColor="accent2" w:themeShade="7F"/>
      </w:pBdr>
      <w:spacing w:before="300" w:after="200" w:line="252" w:lineRule="auto"/>
      <w:jc w:val="center"/>
      <w:outlineLvl w:val="2"/>
    </w:pPr>
    <w:rPr>
      <w:rFonts w:asciiTheme="majorHAnsi" w:eastAsiaTheme="minorHAnsi" w:hAnsiTheme="majorHAnsi" w:cstheme="majorBidi"/>
      <w:caps/>
      <w:color w:val="622423" w:themeColor="accent2" w:themeShade="7F"/>
      <w:sz w:val="24"/>
      <w:szCs w:val="24"/>
      <w:lang w:bidi="en-US"/>
    </w:rPr>
  </w:style>
  <w:style w:type="paragraph" w:styleId="Heading4">
    <w:name w:val="heading 4"/>
    <w:basedOn w:val="Normal"/>
    <w:next w:val="Normal"/>
    <w:link w:val="Heading4Char"/>
    <w:uiPriority w:val="9"/>
    <w:semiHidden/>
    <w:unhideWhenUsed/>
    <w:qFormat/>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sz w:val="22"/>
      <w:szCs w:val="22"/>
      <w:lang w:bidi="en-US"/>
    </w:rPr>
  </w:style>
  <w:style w:type="paragraph" w:styleId="Heading5">
    <w:name w:val="heading 5"/>
    <w:basedOn w:val="Normal"/>
    <w:next w:val="Normal"/>
    <w:link w:val="Heading5Char"/>
    <w:uiPriority w:val="9"/>
    <w:semiHidden/>
    <w:unhideWhenUsed/>
    <w:qFormat/>
    <w:pPr>
      <w:spacing w:before="320" w:after="120" w:line="252" w:lineRule="auto"/>
      <w:jc w:val="center"/>
      <w:outlineLvl w:val="4"/>
    </w:pPr>
    <w:rPr>
      <w:rFonts w:asciiTheme="majorHAnsi" w:eastAsiaTheme="minorHAnsi" w:hAnsiTheme="majorHAnsi" w:cstheme="majorBidi"/>
      <w:caps/>
      <w:color w:val="622423" w:themeColor="accent2" w:themeShade="7F"/>
      <w:spacing w:val="10"/>
      <w:sz w:val="22"/>
      <w:szCs w:val="22"/>
      <w:lang w:bidi="en-US"/>
    </w:rPr>
  </w:style>
  <w:style w:type="paragraph" w:styleId="Heading6">
    <w:name w:val="heading 6"/>
    <w:basedOn w:val="Normal"/>
    <w:next w:val="Normal"/>
    <w:link w:val="Heading6Char"/>
    <w:uiPriority w:val="9"/>
    <w:semiHidden/>
    <w:unhideWhenUsed/>
    <w:qFormat/>
    <w:pPr>
      <w:spacing w:after="120" w:line="252" w:lineRule="auto"/>
      <w:jc w:val="center"/>
      <w:outlineLvl w:val="5"/>
    </w:pPr>
    <w:rPr>
      <w:rFonts w:asciiTheme="majorHAnsi" w:eastAsiaTheme="minorHAnsi" w:hAnsiTheme="majorHAnsi" w:cstheme="majorBidi"/>
      <w:caps/>
      <w:color w:val="943634" w:themeColor="accent2" w:themeShade="BF"/>
      <w:spacing w:val="10"/>
      <w:sz w:val="22"/>
      <w:szCs w:val="22"/>
      <w:lang w:bidi="en-US"/>
    </w:rPr>
  </w:style>
  <w:style w:type="paragraph" w:styleId="Heading7">
    <w:name w:val="heading 7"/>
    <w:basedOn w:val="Normal"/>
    <w:next w:val="Normal"/>
    <w:link w:val="Heading7Char"/>
    <w:uiPriority w:val="9"/>
    <w:semiHidden/>
    <w:unhideWhenUsed/>
    <w:qFormat/>
    <w:pPr>
      <w:spacing w:after="120" w:line="252" w:lineRule="auto"/>
      <w:jc w:val="center"/>
      <w:outlineLvl w:val="6"/>
    </w:pPr>
    <w:rPr>
      <w:rFonts w:asciiTheme="majorHAnsi" w:eastAsiaTheme="minorHAnsi" w:hAnsiTheme="majorHAnsi" w:cstheme="majorBidi"/>
      <w:i/>
      <w:iCs/>
      <w:caps/>
      <w:color w:val="943634" w:themeColor="accent2" w:themeShade="BF"/>
      <w:spacing w:val="10"/>
      <w:sz w:val="22"/>
      <w:szCs w:val="22"/>
      <w:lang w:bidi="en-US"/>
    </w:rPr>
  </w:style>
  <w:style w:type="paragraph" w:styleId="Heading8">
    <w:name w:val="heading 8"/>
    <w:basedOn w:val="Normal"/>
    <w:next w:val="Normal"/>
    <w:link w:val="Heading8Char"/>
    <w:uiPriority w:val="9"/>
    <w:semiHidden/>
    <w:unhideWhenUsed/>
    <w:qFormat/>
    <w:pPr>
      <w:spacing w:after="120" w:line="252" w:lineRule="auto"/>
      <w:jc w:val="center"/>
      <w:outlineLvl w:val="7"/>
    </w:pPr>
    <w:rPr>
      <w:rFonts w:asciiTheme="majorHAnsi" w:eastAsiaTheme="minorHAnsi" w:hAnsiTheme="majorHAnsi" w:cstheme="majorBidi"/>
      <w:caps/>
      <w:spacing w:val="10"/>
      <w:lang w:bidi="en-US"/>
    </w:rPr>
  </w:style>
  <w:style w:type="paragraph" w:styleId="Heading9">
    <w:name w:val="heading 9"/>
    <w:basedOn w:val="Normal"/>
    <w:next w:val="Normal"/>
    <w:link w:val="Heading9Char"/>
    <w:uiPriority w:val="9"/>
    <w:semiHidden/>
    <w:unhideWhenUsed/>
    <w:qFormat/>
    <w:pPr>
      <w:spacing w:after="120" w:line="252" w:lineRule="auto"/>
      <w:jc w:val="center"/>
      <w:outlineLvl w:val="8"/>
    </w:pPr>
    <w:rPr>
      <w:rFonts w:asciiTheme="majorHAnsi" w:eastAsiaTheme="minorHAnsi" w:hAnsiTheme="majorHAnsi" w:cstheme="majorBidi"/>
      <w:i/>
      <w:iCs/>
      <w:caps/>
      <w:spacing w:val="1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Pr>
      <w:rFonts w:eastAsiaTheme="majorEastAsia" w:cstheme="majorBidi"/>
      <w:i/>
      <w:iCs/>
      <w:caps/>
      <w:spacing w:val="10"/>
      <w:sz w:val="20"/>
      <w:szCs w:val="20"/>
    </w:rPr>
  </w:style>
  <w:style w:type="paragraph" w:styleId="Caption">
    <w:name w:val="caption"/>
    <w:basedOn w:val="Normal"/>
    <w:next w:val="Normal"/>
    <w:uiPriority w:val="35"/>
    <w:semiHidden/>
    <w:unhideWhenUsed/>
    <w:qFormat/>
    <w:pPr>
      <w:spacing w:after="200" w:line="252" w:lineRule="auto"/>
    </w:pPr>
    <w:rPr>
      <w:rFonts w:asciiTheme="majorHAnsi" w:eastAsiaTheme="minorHAnsi" w:hAnsiTheme="majorHAnsi" w:cstheme="majorBidi"/>
      <w:caps/>
      <w:spacing w:val="10"/>
      <w:sz w:val="18"/>
      <w:szCs w:val="18"/>
      <w:lang w:bidi="en-US"/>
    </w:rPr>
  </w:style>
  <w:style w:type="paragraph" w:styleId="Title">
    <w:name w:val="Title"/>
    <w:basedOn w:val="Normal"/>
    <w:next w:val="Normal"/>
    <w:link w:val="TitleChar"/>
    <w:uiPriority w:val="10"/>
    <w:qFormat/>
    <w:pPr>
      <w:pBdr>
        <w:top w:val="dotted" w:sz="2" w:space="1" w:color="632423" w:themeColor="accent2" w:themeShade="80"/>
        <w:bottom w:val="dotted" w:sz="2" w:space="6" w:color="632423" w:themeColor="accent2" w:themeShade="80"/>
      </w:pBdr>
      <w:spacing w:before="500" w:after="300"/>
      <w:jc w:val="center"/>
    </w:pPr>
    <w:rPr>
      <w:rFonts w:asciiTheme="majorHAnsi" w:eastAsiaTheme="minorHAnsi" w:hAnsiTheme="majorHAnsi" w:cstheme="majorBidi"/>
      <w:caps/>
      <w:color w:val="632423" w:themeColor="accent2" w:themeShade="80"/>
      <w:spacing w:val="50"/>
      <w:sz w:val="44"/>
      <w:szCs w:val="44"/>
      <w:lang w:bidi="en-US"/>
    </w:rPr>
  </w:style>
  <w:style w:type="character" w:customStyle="1" w:styleId="TitleChar">
    <w:name w:val="Title Char"/>
    <w:basedOn w:val="DefaultParagraphFont"/>
    <w:link w:val="Title"/>
    <w:uiPriority w:val="1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jc w:val="center"/>
    </w:pPr>
    <w:rPr>
      <w:rFonts w:asciiTheme="majorHAnsi" w:eastAsiaTheme="minorHAnsi" w:hAnsiTheme="majorHAnsi" w:cstheme="majorBidi"/>
      <w:caps/>
      <w:spacing w:val="20"/>
      <w:sz w:val="18"/>
      <w:szCs w:val="18"/>
      <w:lang w:bidi="en-US"/>
    </w:rPr>
  </w:style>
  <w:style w:type="character" w:customStyle="1" w:styleId="SubtitleChar">
    <w:name w:val="Subtitle Char"/>
    <w:basedOn w:val="DefaultParagraphFont"/>
    <w:link w:val="Subtitle"/>
    <w:uiPriority w:val="11"/>
    <w:rPr>
      <w:rFonts w:eastAsiaTheme="majorEastAsia" w:cstheme="majorBidi"/>
      <w:caps/>
      <w:spacing w:val="20"/>
      <w:sz w:val="18"/>
      <w:szCs w:val="18"/>
    </w:rPr>
  </w:style>
  <w:style w:type="character" w:styleId="Strong">
    <w:name w:val="Strong"/>
    <w:uiPriority w:val="22"/>
    <w:qFormat/>
    <w:rPr>
      <w:b/>
      <w:bCs/>
      <w:color w:val="943634" w:themeColor="accent2" w:themeShade="BF"/>
      <w:spacing w:val="5"/>
    </w:rPr>
  </w:style>
  <w:style w:type="character" w:styleId="Emphasis">
    <w:name w:val="Emphasis"/>
    <w:uiPriority w:val="20"/>
    <w:qFormat/>
    <w:rPr>
      <w:caps/>
      <w:spacing w:val="5"/>
      <w:sz w:val="20"/>
      <w:szCs w:val="20"/>
    </w:rPr>
  </w:style>
  <w:style w:type="paragraph" w:styleId="NoSpacing">
    <w:name w:val="No Spacing"/>
    <w:basedOn w:val="Normal"/>
    <w:link w:val="NoSpacingChar"/>
    <w:uiPriority w:val="1"/>
    <w:qFormat/>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200" w:line="252"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pPr>
      <w:spacing w:after="200" w:line="252"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Pr>
      <w:rFonts w:eastAsiaTheme="majorEastAsia" w:cstheme="majorBidi"/>
      <w:i/>
      <w:iCs/>
    </w:rPr>
  </w:style>
  <w:style w:type="paragraph" w:styleId="IntenseQuote">
    <w:name w:val="Intense Quote"/>
    <w:basedOn w:val="Normal"/>
    <w:next w:val="Normal"/>
    <w:link w:val="IntenseQuoteChar"/>
    <w:uiPriority w:val="30"/>
    <w:qFormat/>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inorHAnsi" w:hAnsiTheme="majorHAnsi" w:cstheme="majorBidi"/>
      <w:caps/>
      <w:color w:val="622423" w:themeColor="accent2" w:themeShade="7F"/>
      <w:spacing w:val="5"/>
      <w:lang w:bidi="en-US"/>
    </w:rPr>
  </w:style>
  <w:style w:type="character" w:customStyle="1" w:styleId="IntenseQuoteChar">
    <w:name w:val="Intense Quote Char"/>
    <w:basedOn w:val="DefaultParagraphFont"/>
    <w:link w:val="IntenseQuote"/>
    <w:uiPriority w:val="30"/>
    <w:rPr>
      <w:rFonts w:eastAsiaTheme="majorEastAsia" w:cstheme="majorBidi"/>
      <w:caps/>
      <w:color w:val="622423" w:themeColor="accent2" w:themeShade="7F"/>
      <w:spacing w:val="5"/>
      <w:sz w:val="20"/>
      <w:szCs w:val="20"/>
    </w:rPr>
  </w:style>
  <w:style w:type="character" w:styleId="SubtleEmphasis">
    <w:name w:val="Subtle Emphasis"/>
    <w:uiPriority w:val="19"/>
    <w:qFormat/>
    <w:rPr>
      <w:i/>
      <w:iCs/>
    </w:rPr>
  </w:style>
  <w:style w:type="character" w:styleId="IntenseEmphasis">
    <w:name w:val="Intense Emphasis"/>
    <w:uiPriority w:val="21"/>
    <w:qFormat/>
    <w:rPr>
      <w:i/>
      <w:iCs/>
      <w:caps/>
      <w:spacing w:val="10"/>
      <w:sz w:val="20"/>
      <w:szCs w:val="20"/>
    </w:rPr>
  </w:style>
  <w:style w:type="character" w:styleId="SubtleReference">
    <w:name w:val="Subtle Reference"/>
    <w:basedOn w:val="DefaultParagraphFont"/>
    <w:uiPriority w:val="31"/>
    <w:qFormat/>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Pr>
      <w:rFonts w:asciiTheme="minorHAnsi" w:eastAsiaTheme="minorEastAsia" w:hAnsiTheme="minorHAnsi" w:cstheme="minorBidi"/>
      <w:b/>
      <w:bCs/>
      <w:i/>
      <w:iCs/>
      <w:color w:val="622423" w:themeColor="accent2" w:themeShade="7F"/>
    </w:rPr>
  </w:style>
  <w:style w:type="character" w:styleId="BookTitle">
    <w:name w:val="Book Title"/>
    <w:uiPriority w:val="33"/>
    <w:qFormat/>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Ram Pratap Seth</cp:lastModifiedBy>
  <cp:revision>23</cp:revision>
  <cp:lastPrinted>2020-01-18T05:50:00Z</cp:lastPrinted>
  <dcterms:created xsi:type="dcterms:W3CDTF">2020-01-15T04:42:00Z</dcterms:created>
  <dcterms:modified xsi:type="dcterms:W3CDTF">2021-09-28T04:22:00Z</dcterms:modified>
</cp:coreProperties>
</file>